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DFC59" w14:textId="344D83A7" w:rsidR="00C525A2" w:rsidRPr="00E81A9D" w:rsidRDefault="003950E4" w:rsidP="008B61A3">
      <w:pPr>
        <w:spacing w:after="0" w:line="240" w:lineRule="auto"/>
        <w:jc w:val="center"/>
        <w:rPr>
          <w:rFonts w:ascii="Effra" w:hAnsi="Effra"/>
          <w:b/>
          <w:sz w:val="24"/>
          <w:szCs w:val="24"/>
        </w:rPr>
      </w:pPr>
      <w:bookmarkStart w:id="0" w:name="_GoBack"/>
      <w:bookmarkEnd w:id="0"/>
      <w:r w:rsidRPr="00E81A9D">
        <w:rPr>
          <w:rFonts w:ascii="Effra" w:hAnsi="Effra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5A5439C" wp14:editId="1CE3DCDA">
            <wp:simplePos x="0" y="0"/>
            <wp:positionH relativeFrom="column">
              <wp:posOffset>2621502</wp:posOffset>
            </wp:positionH>
            <wp:positionV relativeFrom="paragraph">
              <wp:posOffset>173237</wp:posOffset>
            </wp:positionV>
            <wp:extent cx="3662045" cy="13500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H_Master_Logo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4" b="13537"/>
                    <a:stretch/>
                  </pic:blipFill>
                  <pic:spPr bwMode="auto">
                    <a:xfrm>
                      <a:off x="0" y="0"/>
                      <a:ext cx="3662045" cy="135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DDDE8" w14:textId="3C9D3D94" w:rsidR="005724A6" w:rsidRPr="00E81A9D" w:rsidRDefault="00F46DB3" w:rsidP="008B61A3">
      <w:pPr>
        <w:spacing w:after="0" w:line="240" w:lineRule="auto"/>
        <w:rPr>
          <w:rFonts w:ascii="Effra" w:hAnsi="Effra" w:cs="Arial"/>
          <w:b/>
          <w:sz w:val="28"/>
        </w:rPr>
      </w:pPr>
      <w:r w:rsidRPr="00E81A9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8EF497E" wp14:editId="0CBB9E0A">
            <wp:simplePos x="0" y="0"/>
            <wp:positionH relativeFrom="margin">
              <wp:posOffset>-31805</wp:posOffset>
            </wp:positionH>
            <wp:positionV relativeFrom="margin">
              <wp:posOffset>302426</wp:posOffset>
            </wp:positionV>
            <wp:extent cx="1276350" cy="1085850"/>
            <wp:effectExtent l="0" t="0" r="0" b="0"/>
            <wp:wrapSquare wrapText="bothSides"/>
            <wp:docPr id="1" name="Picture 1" descr="NDCWales logo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CWales logo 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6598F" w14:textId="5F578BDB" w:rsidR="003950E4" w:rsidRPr="00E81A9D" w:rsidRDefault="003950E4" w:rsidP="008B61A3">
      <w:pPr>
        <w:spacing w:after="0" w:line="240" w:lineRule="auto"/>
        <w:rPr>
          <w:rFonts w:ascii="Effra" w:hAnsi="Effra" w:cs="Arial"/>
          <w:b/>
          <w:sz w:val="28"/>
        </w:rPr>
      </w:pPr>
    </w:p>
    <w:p w14:paraId="7246AC72" w14:textId="77777777" w:rsidR="003950E4" w:rsidRPr="00E81A9D" w:rsidRDefault="003950E4" w:rsidP="008B61A3">
      <w:pPr>
        <w:spacing w:after="0" w:line="240" w:lineRule="auto"/>
        <w:rPr>
          <w:rFonts w:ascii="Effra" w:hAnsi="Effra" w:cs="Arial"/>
          <w:b/>
          <w:sz w:val="28"/>
        </w:rPr>
      </w:pPr>
    </w:p>
    <w:p w14:paraId="1C528807" w14:textId="77777777" w:rsidR="003950E4" w:rsidRPr="00E81A9D" w:rsidRDefault="003950E4" w:rsidP="008B61A3">
      <w:pPr>
        <w:spacing w:after="0" w:line="240" w:lineRule="auto"/>
        <w:rPr>
          <w:rFonts w:ascii="Effra" w:hAnsi="Effra" w:cs="Arial"/>
          <w:b/>
          <w:sz w:val="28"/>
        </w:rPr>
      </w:pPr>
    </w:p>
    <w:p w14:paraId="25393CB3" w14:textId="77777777" w:rsidR="003950E4" w:rsidRPr="00E81A9D" w:rsidRDefault="003950E4" w:rsidP="008B61A3">
      <w:pPr>
        <w:spacing w:after="0" w:line="240" w:lineRule="auto"/>
        <w:rPr>
          <w:rFonts w:ascii="Effra" w:hAnsi="Effra" w:cs="Arial"/>
          <w:b/>
          <w:sz w:val="28"/>
        </w:rPr>
      </w:pPr>
    </w:p>
    <w:p w14:paraId="1FDA75CC" w14:textId="77777777" w:rsidR="003950E4" w:rsidRPr="00E81A9D" w:rsidRDefault="003950E4" w:rsidP="008B61A3">
      <w:pPr>
        <w:spacing w:after="0" w:line="240" w:lineRule="auto"/>
        <w:rPr>
          <w:rFonts w:ascii="Effra" w:hAnsi="Effra" w:cs="Arial"/>
          <w:b/>
          <w:sz w:val="28"/>
        </w:rPr>
      </w:pPr>
    </w:p>
    <w:p w14:paraId="1EA685F6" w14:textId="77777777" w:rsidR="003950E4" w:rsidRPr="00E81A9D" w:rsidRDefault="003950E4" w:rsidP="00FB2C05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756DE6DC" w14:textId="77777777" w:rsidR="003950E4" w:rsidRPr="00E81A9D" w:rsidRDefault="003950E4" w:rsidP="00FB2C05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57DC7622" w14:textId="4766760E" w:rsidR="00FB2C05" w:rsidRPr="00E81A9D" w:rsidRDefault="00FB2C05" w:rsidP="00FB2C05">
      <w:pPr>
        <w:spacing w:after="0" w:line="240" w:lineRule="auto"/>
        <w:jc w:val="center"/>
        <w:rPr>
          <w:rFonts w:cstheme="minorHAnsi"/>
          <w:b/>
          <w:sz w:val="28"/>
        </w:rPr>
      </w:pPr>
      <w:r w:rsidRPr="00E81A9D">
        <w:rPr>
          <w:rFonts w:cstheme="minorHAnsi"/>
          <w:b/>
          <w:sz w:val="28"/>
        </w:rPr>
        <w:t>VOLUNTEER PEER MOTIVATOR ROLE DESCRIPTION</w:t>
      </w:r>
    </w:p>
    <w:p w14:paraId="3A700447" w14:textId="7660DCB9" w:rsidR="00FB2C05" w:rsidRPr="00E81A9D" w:rsidRDefault="00FB2C05" w:rsidP="008B61A3">
      <w:pPr>
        <w:spacing w:after="0" w:line="240" w:lineRule="auto"/>
        <w:rPr>
          <w:rFonts w:cstheme="minorHAnsi"/>
          <w:sz w:val="24"/>
        </w:rPr>
      </w:pPr>
    </w:p>
    <w:p w14:paraId="1C065B6C" w14:textId="77777777" w:rsidR="00517205" w:rsidRDefault="00517205" w:rsidP="008B61A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6B812B6" w14:textId="77777777" w:rsidR="009F068C" w:rsidRDefault="009F068C" w:rsidP="008B61A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EBA631E" w14:textId="4D2E5D24" w:rsidR="002065D3" w:rsidRPr="00E81A9D" w:rsidRDefault="00FB2C05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>Project Name</w:t>
      </w:r>
      <w:r w:rsidR="0023009F" w:rsidRPr="00E81A9D">
        <w:rPr>
          <w:rFonts w:cstheme="minorHAnsi"/>
          <w:b/>
          <w:sz w:val="28"/>
          <w:szCs w:val="28"/>
        </w:rPr>
        <w:t xml:space="preserve"> - </w:t>
      </w:r>
      <w:r w:rsidR="002065D3" w:rsidRPr="00E81A9D">
        <w:rPr>
          <w:rFonts w:cstheme="minorHAnsi"/>
          <w:sz w:val="28"/>
          <w:szCs w:val="28"/>
        </w:rPr>
        <w:t>Dance to Health</w:t>
      </w:r>
    </w:p>
    <w:p w14:paraId="7A661651" w14:textId="39732394" w:rsidR="00FB2C05" w:rsidRPr="00E81A9D" w:rsidRDefault="00FB2C05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1128ABE0" w14:textId="36B366D9" w:rsidR="00FB2C05" w:rsidRPr="00E81A9D" w:rsidRDefault="00FB2C05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>Project Overview</w:t>
      </w:r>
    </w:p>
    <w:p w14:paraId="3CEDB25A" w14:textId="3C378A33" w:rsidR="00641DE8" w:rsidRPr="00E81A9D" w:rsidRDefault="00624308" w:rsidP="0023009F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1" w:name="_Hlk496959803"/>
      <w:r w:rsidRPr="00E81A9D">
        <w:rPr>
          <w:rFonts w:cstheme="minorHAnsi"/>
          <w:sz w:val="28"/>
          <w:szCs w:val="28"/>
        </w:rPr>
        <w:t>Dance to Health is a pioneering nationwide falls prevention dance programme for older people. Combining evidence and physiotherapy with the creativity, expression and energy of dan</w:t>
      </w:r>
      <w:r w:rsidR="001E6740" w:rsidRPr="00E81A9D">
        <w:rPr>
          <w:rFonts w:cstheme="minorHAnsi"/>
          <w:sz w:val="28"/>
          <w:szCs w:val="28"/>
        </w:rPr>
        <w:t>ce it reduces the risk of an older person suffering a fall</w:t>
      </w:r>
      <w:r w:rsidRPr="00E81A9D">
        <w:rPr>
          <w:rFonts w:cstheme="minorHAnsi"/>
          <w:sz w:val="28"/>
          <w:szCs w:val="28"/>
        </w:rPr>
        <w:t xml:space="preserve">. </w:t>
      </w:r>
      <w:r w:rsidR="0023009F" w:rsidRPr="00E81A9D">
        <w:rPr>
          <w:rFonts w:cstheme="minorHAnsi"/>
          <w:sz w:val="28"/>
          <w:szCs w:val="28"/>
        </w:rPr>
        <w:t xml:space="preserve"> The scheme</w:t>
      </w:r>
      <w:r w:rsidR="00A66FA1" w:rsidRPr="00E81A9D">
        <w:rPr>
          <w:rFonts w:cstheme="minorHAnsi"/>
          <w:sz w:val="28"/>
          <w:szCs w:val="28"/>
        </w:rPr>
        <w:t xml:space="preserve"> offers a solution to problems with existing falls prevention programmes.</w:t>
      </w:r>
    </w:p>
    <w:p w14:paraId="08C28F91" w14:textId="77777777" w:rsidR="00C77C08" w:rsidRPr="00E81A9D" w:rsidRDefault="00C77C08" w:rsidP="0023009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A879B37" w14:textId="6A518DA2" w:rsidR="00624308" w:rsidRPr="00E81A9D" w:rsidRDefault="00624308" w:rsidP="003D228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81A9D">
        <w:rPr>
          <w:rFonts w:cstheme="minorHAnsi"/>
          <w:sz w:val="28"/>
          <w:szCs w:val="28"/>
        </w:rPr>
        <w:t xml:space="preserve">Dance to Health groups are led by trained Dance Artists who embed evidence based falls prevention </w:t>
      </w:r>
      <w:r w:rsidR="00A02248" w:rsidRPr="00E81A9D">
        <w:rPr>
          <w:rFonts w:cstheme="minorHAnsi"/>
          <w:sz w:val="28"/>
          <w:szCs w:val="28"/>
        </w:rPr>
        <w:t>physiotherapy exercise</w:t>
      </w:r>
      <w:r w:rsidRPr="00E81A9D">
        <w:rPr>
          <w:rFonts w:cstheme="minorHAnsi"/>
          <w:sz w:val="28"/>
          <w:szCs w:val="28"/>
        </w:rPr>
        <w:t xml:space="preserve"> in creative, fun, sociable dance sessions</w:t>
      </w:r>
      <w:r w:rsidR="00A66FA1" w:rsidRPr="00E81A9D">
        <w:rPr>
          <w:rFonts w:cstheme="minorHAnsi"/>
          <w:sz w:val="28"/>
          <w:szCs w:val="28"/>
        </w:rPr>
        <w:t xml:space="preserve"> for older people who have been suffering falls or are at risk of falling</w:t>
      </w:r>
      <w:r w:rsidRPr="00E81A9D">
        <w:rPr>
          <w:rFonts w:cstheme="minorHAnsi"/>
          <w:sz w:val="28"/>
          <w:szCs w:val="28"/>
        </w:rPr>
        <w:t>.</w:t>
      </w:r>
    </w:p>
    <w:bookmarkEnd w:id="1"/>
    <w:p w14:paraId="55B37EA1" w14:textId="77777777" w:rsidR="00862261" w:rsidRPr="00E81A9D" w:rsidRDefault="00862261" w:rsidP="003D228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0156505" w14:textId="77777777" w:rsidR="0040024A" w:rsidRPr="00E81A9D" w:rsidRDefault="00FB2C05" w:rsidP="008B61A3">
      <w:pPr>
        <w:spacing w:after="0" w:line="240" w:lineRule="auto"/>
        <w:rPr>
          <w:rFonts w:cstheme="minorHAnsi"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>Role Title</w:t>
      </w:r>
      <w:r w:rsidR="002065D3" w:rsidRPr="00E81A9D">
        <w:rPr>
          <w:rFonts w:cstheme="minorHAnsi"/>
          <w:sz w:val="28"/>
          <w:szCs w:val="28"/>
        </w:rPr>
        <w:t xml:space="preserve"> </w:t>
      </w:r>
    </w:p>
    <w:p w14:paraId="7D00A99A" w14:textId="02A6574A" w:rsidR="00FB2C05" w:rsidRPr="00E81A9D" w:rsidRDefault="00C77C08" w:rsidP="008B61A3">
      <w:pPr>
        <w:spacing w:after="0" w:line="240" w:lineRule="auto"/>
        <w:rPr>
          <w:rFonts w:cstheme="minorHAnsi"/>
          <w:sz w:val="28"/>
          <w:szCs w:val="28"/>
        </w:rPr>
      </w:pPr>
      <w:r w:rsidRPr="00E81A9D">
        <w:rPr>
          <w:rFonts w:cstheme="minorHAnsi"/>
          <w:sz w:val="28"/>
          <w:szCs w:val="28"/>
        </w:rPr>
        <w:t xml:space="preserve">Volunteer </w:t>
      </w:r>
      <w:r w:rsidR="002065D3" w:rsidRPr="00E81A9D">
        <w:rPr>
          <w:rFonts w:cstheme="minorHAnsi"/>
          <w:sz w:val="28"/>
          <w:szCs w:val="28"/>
        </w:rPr>
        <w:t>Peer Motivator</w:t>
      </w:r>
    </w:p>
    <w:p w14:paraId="2CEBC2F0" w14:textId="6BA24854" w:rsidR="00FB2C05" w:rsidRPr="00E81A9D" w:rsidRDefault="00FB2C05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6C1DC458" w14:textId="2C4DAC8E" w:rsidR="008C18E1" w:rsidRPr="008C18E1" w:rsidRDefault="00FB2C05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>Role Description</w:t>
      </w:r>
      <w:bookmarkStart w:id="2" w:name="_Hlk496959597"/>
    </w:p>
    <w:p w14:paraId="69A7B359" w14:textId="08E89A9B" w:rsidR="008C18E1" w:rsidRPr="008C18E1" w:rsidRDefault="008C18E1" w:rsidP="003D2288">
      <w:pPr>
        <w:jc w:val="both"/>
        <w:rPr>
          <w:rFonts w:cstheme="minorHAnsi"/>
          <w:sz w:val="28"/>
          <w:szCs w:val="28"/>
        </w:rPr>
      </w:pPr>
      <w:r w:rsidRPr="008C18E1">
        <w:rPr>
          <w:rFonts w:cstheme="minorHAnsi"/>
          <w:sz w:val="28"/>
          <w:szCs w:val="28"/>
        </w:rPr>
        <w:t>Peer Motivators is an essential role for every Dance to Health group. Peer Motivators are volunteers with interest in or experience of dance or keeping active. As a Peer Motivator, you will participate in the dance sessions, offering encouragement and support to other group members.  As a part of the dance team delivering the project, your help will ensure that all participants get the one-to-one support they need to maximise the benefits of taking part.</w:t>
      </w:r>
    </w:p>
    <w:p w14:paraId="6ACA975B" w14:textId="791D5DD0" w:rsidR="008C18E1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76A4FA28" w14:textId="321DCBA4" w:rsidR="008C18E1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3C1A16D7" w14:textId="77777777" w:rsidR="008C18E1" w:rsidRPr="00E81A9D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07BB728F" w14:textId="3D269C96" w:rsidR="00FB2C05" w:rsidRPr="00E81A9D" w:rsidRDefault="00FB2C05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0D51E8A8" w14:textId="2C564388" w:rsidR="00FB2C05" w:rsidRPr="00E81A9D" w:rsidRDefault="00FB2C05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 xml:space="preserve">Where </w:t>
      </w:r>
      <w:r w:rsidR="003950E4" w:rsidRPr="00E81A9D">
        <w:rPr>
          <w:rFonts w:cstheme="minorHAnsi"/>
          <w:b/>
          <w:sz w:val="28"/>
          <w:szCs w:val="28"/>
        </w:rPr>
        <w:t>&amp; When</w:t>
      </w:r>
    </w:p>
    <w:p w14:paraId="046978A0" w14:textId="77777777" w:rsidR="003950E4" w:rsidRPr="00E81A9D" w:rsidRDefault="003950E4" w:rsidP="008B61A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FF1D21F" w14:textId="550BF233" w:rsidR="002065D3" w:rsidRPr="00E81A9D" w:rsidRDefault="002065D3" w:rsidP="008B61A3">
      <w:pPr>
        <w:spacing w:after="0" w:line="240" w:lineRule="auto"/>
        <w:rPr>
          <w:rFonts w:cstheme="minorHAnsi"/>
          <w:sz w:val="28"/>
          <w:szCs w:val="28"/>
        </w:rPr>
      </w:pPr>
      <w:r w:rsidRPr="00E81A9D">
        <w:rPr>
          <w:rFonts w:cstheme="minorHAnsi"/>
          <w:sz w:val="28"/>
          <w:szCs w:val="28"/>
        </w:rPr>
        <w:t>D</w:t>
      </w:r>
      <w:r w:rsidR="001E6740" w:rsidRPr="00E81A9D">
        <w:rPr>
          <w:rFonts w:cstheme="minorHAnsi"/>
          <w:sz w:val="28"/>
          <w:szCs w:val="28"/>
        </w:rPr>
        <w:t xml:space="preserve">ance to Health groups run </w:t>
      </w:r>
      <w:r w:rsidRPr="00E81A9D">
        <w:rPr>
          <w:rFonts w:cstheme="minorHAnsi"/>
          <w:sz w:val="28"/>
          <w:szCs w:val="28"/>
        </w:rPr>
        <w:t xml:space="preserve">weekly and each session lasts for 2 hours (90 minutes of activity and 30 minutes for refreshments and socialising).  </w:t>
      </w:r>
      <w:r w:rsidR="0021530A" w:rsidRPr="00E81A9D">
        <w:rPr>
          <w:rFonts w:cstheme="minorHAnsi"/>
          <w:sz w:val="28"/>
          <w:szCs w:val="28"/>
        </w:rPr>
        <w:t>There will be sessions delivered across the Neath, Port Talbot and Swansea region. Details of location will be agreed in next coming months.</w:t>
      </w:r>
    </w:p>
    <w:bookmarkEnd w:id="2"/>
    <w:p w14:paraId="4FAE0BF1" w14:textId="630CFDA8" w:rsidR="00FB2C05" w:rsidRPr="00E81A9D" w:rsidRDefault="00FB2C05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046BFF76" w14:textId="5091B8F4" w:rsidR="00FB2C05" w:rsidRPr="00E81A9D" w:rsidRDefault="008C18E1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Main Tasks </w:t>
      </w:r>
    </w:p>
    <w:p w14:paraId="0C1C4FE3" w14:textId="45F8C798" w:rsidR="00A02248" w:rsidRPr="003D2288" w:rsidRDefault="00A02248" w:rsidP="003D2288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Participate in Dance to Health group sessions, offering </w:t>
      </w:r>
      <w:proofErr w:type="gramStart"/>
      <w:r w:rsidRPr="003D2288">
        <w:rPr>
          <w:rFonts w:cstheme="minorHAnsi"/>
          <w:sz w:val="28"/>
          <w:szCs w:val="28"/>
        </w:rPr>
        <w:t>particular support</w:t>
      </w:r>
      <w:proofErr w:type="gramEnd"/>
      <w:r w:rsidRPr="003D2288">
        <w:rPr>
          <w:rFonts w:cstheme="minorHAnsi"/>
          <w:sz w:val="28"/>
          <w:szCs w:val="28"/>
        </w:rPr>
        <w:t>, encouragement or one-to-one help to participants where required.  For example, you may be asked to demonstrate seated options to less mobile participants.</w:t>
      </w:r>
      <w:r w:rsidR="001E6740" w:rsidRPr="003D2288">
        <w:rPr>
          <w:rFonts w:cstheme="minorHAnsi"/>
          <w:sz w:val="28"/>
          <w:szCs w:val="28"/>
        </w:rPr>
        <w:t xml:space="preserve">  </w:t>
      </w:r>
    </w:p>
    <w:p w14:paraId="740DE157" w14:textId="538ABF9D" w:rsidR="001E6740" w:rsidRPr="00E81A9D" w:rsidRDefault="001E6740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0CE5D15D" w14:textId="774E2A34" w:rsidR="001E6740" w:rsidRPr="003D2288" w:rsidRDefault="001E6740" w:rsidP="003D2288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>You will be part of the dance delivery team and the dance artist leading the sessions will direct you on how to help in each session.</w:t>
      </w:r>
    </w:p>
    <w:p w14:paraId="0A99FE26" w14:textId="50B7A6C9" w:rsidR="00A02248" w:rsidRPr="00E81A9D" w:rsidRDefault="00A02248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30864297" w14:textId="3AE17B2F" w:rsidR="00A02248" w:rsidRPr="003D2288" w:rsidRDefault="00A02248" w:rsidP="003D2288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>You may also help with collecting monitoring information from group participants – including offering help to complete membership forms or evaluation questionnaires to those who need it.</w:t>
      </w:r>
    </w:p>
    <w:p w14:paraId="773F8B5E" w14:textId="3FDC380E" w:rsidR="008C18E1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7E5F4EAB" w14:textId="2959F14E" w:rsidR="008C18E1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7A8B087C" w14:textId="77777777" w:rsidR="008C18E1" w:rsidRPr="00E81A9D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7FF36B7C" w14:textId="0171549E" w:rsidR="00FB2C05" w:rsidRPr="00E81A9D" w:rsidRDefault="00FB2C05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>Skills/Experience Required</w:t>
      </w:r>
    </w:p>
    <w:p w14:paraId="039AAF96" w14:textId="635648E3" w:rsidR="00A02248" w:rsidRPr="003D2288" w:rsidRDefault="00A02248" w:rsidP="003D2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>Previous experience of taking part in dance is useful but not essential. You do need to be fit enough to take part in Dance to Health sessions.</w:t>
      </w:r>
    </w:p>
    <w:p w14:paraId="0CFA0A35" w14:textId="6F664049" w:rsidR="00A02248" w:rsidRPr="00E81A9D" w:rsidRDefault="00A02248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40BD10BA" w14:textId="110E1158" w:rsidR="00A02248" w:rsidRPr="003D2288" w:rsidRDefault="00A02248" w:rsidP="003D2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You need to be understanding, patient and empathetic, </w:t>
      </w:r>
      <w:proofErr w:type="gramStart"/>
      <w:r w:rsidRPr="003D2288">
        <w:rPr>
          <w:rFonts w:cstheme="minorHAnsi"/>
          <w:sz w:val="28"/>
          <w:szCs w:val="28"/>
        </w:rPr>
        <w:t>in order to</w:t>
      </w:r>
      <w:proofErr w:type="gramEnd"/>
      <w:r w:rsidRPr="003D2288">
        <w:rPr>
          <w:rFonts w:cstheme="minorHAnsi"/>
          <w:sz w:val="28"/>
          <w:szCs w:val="28"/>
        </w:rPr>
        <w:t xml:space="preserve"> be able to support group participants who need extra help and encouragement during sessions.</w:t>
      </w:r>
    </w:p>
    <w:p w14:paraId="63BC2127" w14:textId="4350BA3F" w:rsidR="00A02248" w:rsidRPr="00E81A9D" w:rsidRDefault="00A02248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0B05DE01" w14:textId="5472743B" w:rsidR="00A02248" w:rsidRPr="003D2288" w:rsidRDefault="00A02248" w:rsidP="003D2288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Confidence with completing forms and paper work would be an advantage to help with </w:t>
      </w:r>
      <w:r w:rsidR="0040024A" w:rsidRPr="003D2288">
        <w:rPr>
          <w:rFonts w:cstheme="minorHAnsi"/>
          <w:sz w:val="28"/>
          <w:szCs w:val="28"/>
        </w:rPr>
        <w:t>monitoring information.</w:t>
      </w:r>
    </w:p>
    <w:p w14:paraId="45E1D918" w14:textId="04524983" w:rsidR="008C18E1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384D7EAA" w14:textId="1001230B" w:rsidR="008C18E1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16AA03F6" w14:textId="77777777" w:rsidR="008C18E1" w:rsidRPr="00E81A9D" w:rsidRDefault="008C18E1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3BE42DF6" w14:textId="77777777" w:rsidR="003D2288" w:rsidRDefault="003D2288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607DE289" w14:textId="77777777" w:rsidR="003D2288" w:rsidRDefault="003D2288" w:rsidP="008B61A3">
      <w:pPr>
        <w:spacing w:after="0" w:line="240" w:lineRule="auto"/>
        <w:rPr>
          <w:rFonts w:cstheme="minorHAnsi"/>
          <w:sz w:val="28"/>
          <w:szCs w:val="28"/>
        </w:rPr>
      </w:pPr>
    </w:p>
    <w:p w14:paraId="7E843651" w14:textId="5876CC06" w:rsidR="00FB2C05" w:rsidRDefault="002065D3" w:rsidP="008B61A3">
      <w:pPr>
        <w:spacing w:after="0" w:line="240" w:lineRule="auto"/>
        <w:rPr>
          <w:rFonts w:cstheme="minorHAnsi"/>
          <w:b/>
          <w:sz w:val="28"/>
          <w:szCs w:val="28"/>
        </w:rPr>
      </w:pPr>
      <w:r w:rsidRPr="00E81A9D">
        <w:rPr>
          <w:rFonts w:cstheme="minorHAnsi"/>
          <w:b/>
          <w:sz w:val="28"/>
          <w:szCs w:val="28"/>
        </w:rPr>
        <w:t>General Information</w:t>
      </w:r>
    </w:p>
    <w:p w14:paraId="4A43B874" w14:textId="230819C0" w:rsidR="003D2288" w:rsidRDefault="003D2288" w:rsidP="008B61A3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098695" w14:textId="77777777" w:rsidR="003D2288" w:rsidRPr="003D2288" w:rsidRDefault="003D2288" w:rsidP="003D2288">
      <w:pPr>
        <w:spacing w:after="0" w:line="240" w:lineRule="auto"/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>Further Information about the programme</w:t>
      </w:r>
    </w:p>
    <w:p w14:paraId="1A57930C" w14:textId="52DE9ABB" w:rsidR="003D2288" w:rsidRPr="003D2288" w:rsidRDefault="003D2288" w:rsidP="003D2288">
      <w:pPr>
        <w:spacing w:after="0" w:line="240" w:lineRule="auto"/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>Dance to health focuses on falls because:</w:t>
      </w:r>
    </w:p>
    <w:p w14:paraId="2CB0E197" w14:textId="2165086C" w:rsidR="003D2288" w:rsidRPr="003D2288" w:rsidRDefault="003D2288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Falls represent the most frequent and serious type of accident in people aged 65 and over. </w:t>
      </w:r>
    </w:p>
    <w:p w14:paraId="18CB3A78" w14:textId="637A8B9A" w:rsidR="003D2288" w:rsidRPr="003D2288" w:rsidRDefault="003D2288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10% of ambulance calls are due to older people’s falls. </w:t>
      </w:r>
    </w:p>
    <w:p w14:paraId="478ED48D" w14:textId="49CF95CC" w:rsidR="003D2288" w:rsidRPr="003D2288" w:rsidRDefault="003D2288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After a fall, an older person is 50% likely to have seriously impaired mobility and 10% will die within a year. </w:t>
      </w:r>
    </w:p>
    <w:p w14:paraId="4D7CFF96" w14:textId="32994C16" w:rsidR="003D2288" w:rsidRPr="003D2288" w:rsidRDefault="003D2288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Falls destroy confidence, increase isolation and reduce independence. </w:t>
      </w:r>
    </w:p>
    <w:p w14:paraId="4F65F994" w14:textId="26996646" w:rsidR="003D2288" w:rsidRPr="003D2288" w:rsidRDefault="003D2288" w:rsidP="003D2288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>Falls cost the NHS £2.3 billion per year.</w:t>
      </w:r>
    </w:p>
    <w:p w14:paraId="162485AD" w14:textId="77777777" w:rsidR="003D2288" w:rsidRPr="003D2288" w:rsidRDefault="003D2288" w:rsidP="003D2288">
      <w:pPr>
        <w:spacing w:after="0" w:line="240" w:lineRule="auto"/>
        <w:rPr>
          <w:rFonts w:cstheme="minorHAnsi"/>
          <w:sz w:val="28"/>
          <w:szCs w:val="28"/>
        </w:rPr>
      </w:pPr>
    </w:p>
    <w:p w14:paraId="1228E856" w14:textId="77777777" w:rsidR="003D2288" w:rsidRPr="003D2288" w:rsidRDefault="003D2288" w:rsidP="003D2288">
      <w:pPr>
        <w:spacing w:after="0" w:line="240" w:lineRule="auto"/>
        <w:rPr>
          <w:rFonts w:cstheme="minorHAnsi"/>
          <w:sz w:val="28"/>
          <w:szCs w:val="28"/>
        </w:rPr>
      </w:pPr>
      <w:r w:rsidRPr="003D2288">
        <w:rPr>
          <w:rFonts w:cstheme="minorHAnsi"/>
          <w:sz w:val="28"/>
          <w:szCs w:val="28"/>
        </w:rPr>
        <w:t xml:space="preserve">The standard falls prevention exercise programmes have problems. For example, only 40% who join standard falls prevention exercise, complete the course. Further, only 38% of such programmes are evidence-based practice, proven to reduce falls by 55%.  Dance to Health has achieved 73% participants completing the programmes and is evidence-based. We also offer maintenance programmes which further strengthen its efficiency. </w:t>
      </w:r>
    </w:p>
    <w:p w14:paraId="4665DE58" w14:textId="77777777" w:rsidR="003D2288" w:rsidRPr="003D2288" w:rsidRDefault="003D2288" w:rsidP="003D2288">
      <w:pPr>
        <w:spacing w:after="0" w:line="240" w:lineRule="auto"/>
        <w:rPr>
          <w:rFonts w:cstheme="minorHAnsi"/>
          <w:sz w:val="28"/>
          <w:szCs w:val="28"/>
        </w:rPr>
      </w:pPr>
    </w:p>
    <w:sectPr w:rsidR="003D2288" w:rsidRPr="003D2288" w:rsidSect="00C77C08">
      <w:footerReference w:type="default" r:id="rId10"/>
      <w:pgSz w:w="11906" w:h="16838"/>
      <w:pgMar w:top="1135" w:right="1134" w:bottom="238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86B53" w14:textId="77777777" w:rsidR="00F5261E" w:rsidRDefault="00F5261E" w:rsidP="007650CF">
      <w:pPr>
        <w:spacing w:after="0" w:line="240" w:lineRule="auto"/>
      </w:pPr>
      <w:r>
        <w:separator/>
      </w:r>
    </w:p>
  </w:endnote>
  <w:endnote w:type="continuationSeparator" w:id="0">
    <w:p w14:paraId="2DD07986" w14:textId="77777777" w:rsidR="00F5261E" w:rsidRDefault="00F5261E" w:rsidP="0076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Franklin Gothic Medium Cond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7ED2" w14:textId="77777777" w:rsidR="007650CF" w:rsidRDefault="007650C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E89589" wp14:editId="34BD77F8">
          <wp:simplePos x="0" y="0"/>
          <wp:positionH relativeFrom="column">
            <wp:posOffset>2066925</wp:posOffset>
          </wp:positionH>
          <wp:positionV relativeFrom="paragraph">
            <wp:posOffset>-757555</wp:posOffset>
          </wp:positionV>
          <wp:extent cx="4467225" cy="1400175"/>
          <wp:effectExtent l="19050" t="0" r="9525" b="0"/>
          <wp:wrapNone/>
          <wp:docPr id="15" name="Picture 0" descr="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7225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30F822" w14:textId="77777777" w:rsidR="007650CF" w:rsidRDefault="00765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7FF38" w14:textId="77777777" w:rsidR="00F5261E" w:rsidRDefault="00F5261E" w:rsidP="007650CF">
      <w:pPr>
        <w:spacing w:after="0" w:line="240" w:lineRule="auto"/>
      </w:pPr>
      <w:r>
        <w:separator/>
      </w:r>
    </w:p>
  </w:footnote>
  <w:footnote w:type="continuationSeparator" w:id="0">
    <w:p w14:paraId="7B540BAA" w14:textId="77777777" w:rsidR="00F5261E" w:rsidRDefault="00F5261E" w:rsidP="00765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A8C"/>
    <w:multiLevelType w:val="hybridMultilevel"/>
    <w:tmpl w:val="336065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58C"/>
    <w:multiLevelType w:val="hybridMultilevel"/>
    <w:tmpl w:val="030654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9FE"/>
    <w:multiLevelType w:val="hybridMultilevel"/>
    <w:tmpl w:val="0C58E7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407C"/>
    <w:multiLevelType w:val="hybridMultilevel"/>
    <w:tmpl w:val="1862EF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5303"/>
    <w:multiLevelType w:val="hybridMultilevel"/>
    <w:tmpl w:val="DAD6FB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2288C"/>
    <w:multiLevelType w:val="hybridMultilevel"/>
    <w:tmpl w:val="75F4A01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F5098B"/>
    <w:multiLevelType w:val="hybridMultilevel"/>
    <w:tmpl w:val="AE849532"/>
    <w:lvl w:ilvl="0" w:tplc="08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C12C4"/>
    <w:multiLevelType w:val="hybridMultilevel"/>
    <w:tmpl w:val="9476EC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81F4F"/>
    <w:multiLevelType w:val="hybridMultilevel"/>
    <w:tmpl w:val="C7744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380F"/>
    <w:multiLevelType w:val="hybridMultilevel"/>
    <w:tmpl w:val="4370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56F9"/>
    <w:multiLevelType w:val="hybridMultilevel"/>
    <w:tmpl w:val="3FD401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A79B7"/>
    <w:multiLevelType w:val="hybridMultilevel"/>
    <w:tmpl w:val="80B29A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D2021"/>
    <w:multiLevelType w:val="hybridMultilevel"/>
    <w:tmpl w:val="97DA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73BA8"/>
    <w:multiLevelType w:val="hybridMultilevel"/>
    <w:tmpl w:val="9B6600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B040B"/>
    <w:multiLevelType w:val="hybridMultilevel"/>
    <w:tmpl w:val="A8BCB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85965"/>
    <w:multiLevelType w:val="hybridMultilevel"/>
    <w:tmpl w:val="9B8CF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37F2"/>
    <w:multiLevelType w:val="hybridMultilevel"/>
    <w:tmpl w:val="002C02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5C0D"/>
    <w:multiLevelType w:val="hybridMultilevel"/>
    <w:tmpl w:val="65784C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E29F1"/>
    <w:multiLevelType w:val="hybridMultilevel"/>
    <w:tmpl w:val="67EA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13D55"/>
    <w:multiLevelType w:val="hybridMultilevel"/>
    <w:tmpl w:val="5F62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65519"/>
    <w:multiLevelType w:val="hybridMultilevel"/>
    <w:tmpl w:val="DA1E2C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8408D"/>
    <w:multiLevelType w:val="hybridMultilevel"/>
    <w:tmpl w:val="B72C8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0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21"/>
  </w:num>
  <w:num w:numId="11">
    <w:abstractNumId w:val="17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  <w:num w:numId="16">
    <w:abstractNumId w:val="11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CF"/>
    <w:rsid w:val="0006356D"/>
    <w:rsid w:val="00067837"/>
    <w:rsid w:val="000B1C9A"/>
    <w:rsid w:val="0017114C"/>
    <w:rsid w:val="001C2763"/>
    <w:rsid w:val="001D163F"/>
    <w:rsid w:val="001E6740"/>
    <w:rsid w:val="002065D3"/>
    <w:rsid w:val="0021530A"/>
    <w:rsid w:val="0022111D"/>
    <w:rsid w:val="0023009F"/>
    <w:rsid w:val="002B0CD3"/>
    <w:rsid w:val="003326A0"/>
    <w:rsid w:val="003814BE"/>
    <w:rsid w:val="003950E4"/>
    <w:rsid w:val="003D2288"/>
    <w:rsid w:val="0040024A"/>
    <w:rsid w:val="004076D7"/>
    <w:rsid w:val="004307FB"/>
    <w:rsid w:val="004568FF"/>
    <w:rsid w:val="00465A83"/>
    <w:rsid w:val="00517205"/>
    <w:rsid w:val="00550BC3"/>
    <w:rsid w:val="005563B2"/>
    <w:rsid w:val="005724A6"/>
    <w:rsid w:val="0057755B"/>
    <w:rsid w:val="005B6159"/>
    <w:rsid w:val="005B772E"/>
    <w:rsid w:val="005C4296"/>
    <w:rsid w:val="005C4595"/>
    <w:rsid w:val="00624308"/>
    <w:rsid w:val="00641DE8"/>
    <w:rsid w:val="0066089B"/>
    <w:rsid w:val="006863FF"/>
    <w:rsid w:val="007650CF"/>
    <w:rsid w:val="007B6349"/>
    <w:rsid w:val="007F5457"/>
    <w:rsid w:val="00862261"/>
    <w:rsid w:val="008B595D"/>
    <w:rsid w:val="008B61A3"/>
    <w:rsid w:val="008C18E1"/>
    <w:rsid w:val="008E1A9C"/>
    <w:rsid w:val="008E2D4E"/>
    <w:rsid w:val="00913017"/>
    <w:rsid w:val="00937AD4"/>
    <w:rsid w:val="00940304"/>
    <w:rsid w:val="009B588D"/>
    <w:rsid w:val="009F068C"/>
    <w:rsid w:val="009F39AE"/>
    <w:rsid w:val="00A02248"/>
    <w:rsid w:val="00A2488A"/>
    <w:rsid w:val="00A66FA1"/>
    <w:rsid w:val="00A80A68"/>
    <w:rsid w:val="00AE2863"/>
    <w:rsid w:val="00AE58E7"/>
    <w:rsid w:val="00AF57B3"/>
    <w:rsid w:val="00B058D5"/>
    <w:rsid w:val="00B4656E"/>
    <w:rsid w:val="00BA377F"/>
    <w:rsid w:val="00BA68D0"/>
    <w:rsid w:val="00BB186A"/>
    <w:rsid w:val="00BC3560"/>
    <w:rsid w:val="00C24D0F"/>
    <w:rsid w:val="00C37AD8"/>
    <w:rsid w:val="00C525A2"/>
    <w:rsid w:val="00C5638C"/>
    <w:rsid w:val="00C57FB7"/>
    <w:rsid w:val="00C77C08"/>
    <w:rsid w:val="00C975EA"/>
    <w:rsid w:val="00CE707B"/>
    <w:rsid w:val="00DB30A9"/>
    <w:rsid w:val="00DD184B"/>
    <w:rsid w:val="00DD5E2F"/>
    <w:rsid w:val="00E74706"/>
    <w:rsid w:val="00E81A9D"/>
    <w:rsid w:val="00E825E6"/>
    <w:rsid w:val="00F07997"/>
    <w:rsid w:val="00F313B5"/>
    <w:rsid w:val="00F46DB3"/>
    <w:rsid w:val="00F5261E"/>
    <w:rsid w:val="00F61DC2"/>
    <w:rsid w:val="00FB2C05"/>
    <w:rsid w:val="00FC7D3E"/>
    <w:rsid w:val="00FF1077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88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CF"/>
  </w:style>
  <w:style w:type="paragraph" w:styleId="Footer">
    <w:name w:val="footer"/>
    <w:basedOn w:val="Normal"/>
    <w:link w:val="FooterChar"/>
    <w:uiPriority w:val="99"/>
    <w:unhideWhenUsed/>
    <w:rsid w:val="0076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CF"/>
  </w:style>
  <w:style w:type="paragraph" w:styleId="BalloonText">
    <w:name w:val="Balloon Text"/>
    <w:basedOn w:val="Normal"/>
    <w:link w:val="BalloonTextChar"/>
    <w:uiPriority w:val="99"/>
    <w:semiHidden/>
    <w:unhideWhenUsed/>
    <w:rsid w:val="007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5A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C5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25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1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89E1-4331-4B06-A184-C0987CF4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barnino</dc:creator>
  <cp:lastModifiedBy>Sarah Chew</cp:lastModifiedBy>
  <cp:revision>2</cp:revision>
  <cp:lastPrinted>2016-12-07T10:56:00Z</cp:lastPrinted>
  <dcterms:created xsi:type="dcterms:W3CDTF">2017-11-14T10:50:00Z</dcterms:created>
  <dcterms:modified xsi:type="dcterms:W3CDTF">2017-11-14T10:50:00Z</dcterms:modified>
</cp:coreProperties>
</file>